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Default="000934F1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 «Татар-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34BE" w:rsidRPr="00785523">
        <w:rPr>
          <w:rFonts w:ascii="Times New Roman" w:hAnsi="Times New Roman" w:cs="Times New Roman"/>
          <w:sz w:val="28"/>
          <w:szCs w:val="28"/>
        </w:rPr>
        <w:tab/>
      </w:r>
      <w:r w:rsidR="003521B1">
        <w:rPr>
          <w:rFonts w:ascii="Times New Roman" w:hAnsi="Times New Roman" w:cs="Times New Roman"/>
          <w:sz w:val="28"/>
          <w:szCs w:val="28"/>
        </w:rPr>
        <w:tab/>
      </w:r>
      <w:r w:rsidR="003521B1">
        <w:rPr>
          <w:rFonts w:ascii="Times New Roman" w:hAnsi="Times New Roman" w:cs="Times New Roman"/>
          <w:sz w:val="28"/>
          <w:szCs w:val="28"/>
        </w:rPr>
        <w:tab/>
      </w:r>
      <w:r w:rsidR="003521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521B1">
        <w:rPr>
          <w:rFonts w:ascii="Times New Roman" w:hAnsi="Times New Roman" w:cs="Times New Roman"/>
          <w:sz w:val="28"/>
          <w:szCs w:val="28"/>
        </w:rPr>
        <w:tab/>
      </w:r>
      <w:r w:rsidR="003521B1">
        <w:rPr>
          <w:rFonts w:ascii="Times New Roman" w:hAnsi="Times New Roman" w:cs="Times New Roman"/>
          <w:sz w:val="28"/>
          <w:szCs w:val="28"/>
        </w:rPr>
        <w:tab/>
      </w:r>
      <w:r w:rsidR="003521B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760B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521B1">
        <w:rPr>
          <w:rFonts w:ascii="Times New Roman" w:hAnsi="Times New Roman" w:cs="Times New Roman"/>
          <w:sz w:val="28"/>
          <w:szCs w:val="28"/>
        </w:rPr>
        <w:t>2020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23">
        <w:rPr>
          <w:rFonts w:ascii="Times New Roman" w:hAnsi="Times New Roman" w:cs="Times New Roman"/>
          <w:sz w:val="28"/>
          <w:szCs w:val="28"/>
        </w:rPr>
        <w:t>,</w:t>
      </w:r>
    </w:p>
    <w:p w:rsidR="00785523" w:rsidRPr="00247076" w:rsidRDefault="000934F1" w:rsidP="00785523">
      <w:pPr>
        <w:spacing w:after="0" w:line="240" w:lineRule="auto"/>
        <w:ind w:left="708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</w:t>
      </w:r>
      <w:r w:rsidR="00785523">
        <w:rPr>
          <w:rFonts w:ascii="Times New Roman" w:hAnsi="Times New Roman" w:cs="Times New Roman"/>
          <w:sz w:val="28"/>
          <w:szCs w:val="28"/>
        </w:rPr>
        <w:t>:00 ч.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Default="00785523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Pr="00785523" w:rsidRDefault="000934F1" w:rsidP="0078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Пресс-конференция </w:t>
      </w:r>
      <w:r w:rsidR="00785523" w:rsidRPr="00785523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3521B1" w:rsidRDefault="007A7763" w:rsidP="0035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21B1" w:rsidRPr="003521B1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регионального проекта </w:t>
      </w:r>
    </w:p>
    <w:p w:rsidR="003521B1" w:rsidRDefault="003521B1" w:rsidP="0035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B1">
        <w:rPr>
          <w:rFonts w:ascii="Times New Roman" w:hAnsi="Times New Roman" w:cs="Times New Roman"/>
          <w:b/>
          <w:sz w:val="28"/>
          <w:szCs w:val="28"/>
        </w:rPr>
        <w:t xml:space="preserve">«Сохранение лесов в Республике Татарстан» </w:t>
      </w:r>
    </w:p>
    <w:p w:rsidR="003521B1" w:rsidRDefault="003521B1" w:rsidP="0035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B1">
        <w:rPr>
          <w:rFonts w:ascii="Times New Roman" w:hAnsi="Times New Roman" w:cs="Times New Roman"/>
          <w:b/>
          <w:sz w:val="28"/>
          <w:szCs w:val="28"/>
        </w:rPr>
        <w:t xml:space="preserve">в рамках федерального проекта «Сохранение лесов» </w:t>
      </w:r>
    </w:p>
    <w:p w:rsidR="003521B1" w:rsidRPr="003521B1" w:rsidRDefault="003521B1" w:rsidP="0035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B1">
        <w:rPr>
          <w:rFonts w:ascii="Times New Roman" w:hAnsi="Times New Roman" w:cs="Times New Roman"/>
          <w:b/>
          <w:sz w:val="28"/>
          <w:szCs w:val="28"/>
        </w:rPr>
        <w:t>национального проекта «Экология» в 2020 году»</w:t>
      </w:r>
    </w:p>
    <w:p w:rsidR="00785523" w:rsidRPr="00785523" w:rsidRDefault="00785523" w:rsidP="0035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BE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BE" w:rsidRPr="00B01CB8" w:rsidRDefault="007234BE" w:rsidP="00785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A4A" w:rsidRDefault="0063296C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1606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7234BE" w:rsidRDefault="007234BE" w:rsidP="007234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</w:p>
    <w:p w:rsidR="000162E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34BE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F82BB1" w:rsidRDefault="00F82BB1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757CF" w:rsidRPr="00A311CA" w:rsidRDefault="00A757CF" w:rsidP="00BB01B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CA">
        <w:rPr>
          <w:rFonts w:ascii="Times New Roman" w:hAnsi="Times New Roman" w:cs="Times New Roman"/>
          <w:sz w:val="28"/>
          <w:szCs w:val="28"/>
        </w:rPr>
        <w:t xml:space="preserve">Региональный проект «Сохранение лесов в Республике Татарстан» </w:t>
      </w:r>
      <w:r w:rsidR="00BB01BB" w:rsidRPr="00A311CA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«Сохранение лесов» национального проекта «Экология» </w:t>
      </w:r>
      <w:r w:rsidR="00A311CA" w:rsidRPr="00A311CA">
        <w:rPr>
          <w:rFonts w:ascii="Times New Roman" w:hAnsi="Times New Roman" w:cs="Times New Roman"/>
          <w:sz w:val="28"/>
          <w:szCs w:val="28"/>
        </w:rPr>
        <w:t>начал реализовываться в 2019 году</w:t>
      </w:r>
      <w:r w:rsidRPr="00A311CA">
        <w:rPr>
          <w:rFonts w:ascii="Times New Roman" w:hAnsi="Times New Roman" w:cs="Times New Roman"/>
          <w:sz w:val="28"/>
          <w:szCs w:val="28"/>
        </w:rPr>
        <w:t xml:space="preserve">. Его </w:t>
      </w:r>
      <w:r w:rsidR="00A311CA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A311CA">
        <w:rPr>
          <w:rFonts w:ascii="Times New Roman" w:hAnsi="Times New Roman" w:cs="Times New Roman"/>
          <w:sz w:val="28"/>
          <w:szCs w:val="28"/>
        </w:rPr>
        <w:t>цель – обеспечение баланса выбытия и воспроизводства лесов в соотношении 100% к 2024 году. Для достижения этой цели установлены 2 основных</w:t>
      </w:r>
      <w:r w:rsidR="00A311CA">
        <w:rPr>
          <w:rFonts w:ascii="Times New Roman" w:hAnsi="Times New Roman" w:cs="Times New Roman"/>
          <w:sz w:val="28"/>
          <w:szCs w:val="28"/>
        </w:rPr>
        <w:t xml:space="preserve"> индикатора</w:t>
      </w:r>
      <w:r w:rsidRPr="00A311CA">
        <w:rPr>
          <w:rFonts w:ascii="Times New Roman" w:hAnsi="Times New Roman" w:cs="Times New Roman"/>
          <w:sz w:val="28"/>
          <w:szCs w:val="28"/>
        </w:rPr>
        <w:t>: «отношение площади лесовосстановления и лесоразведения к площади вырубленных и погибших лесных насаждений</w:t>
      </w:r>
      <w:r w:rsidR="00A311CA">
        <w:rPr>
          <w:rFonts w:ascii="Times New Roman" w:hAnsi="Times New Roman" w:cs="Times New Roman"/>
          <w:sz w:val="28"/>
          <w:szCs w:val="28"/>
        </w:rPr>
        <w:t>, %</w:t>
      </w:r>
      <w:r w:rsidRPr="00A311CA">
        <w:rPr>
          <w:rFonts w:ascii="Times New Roman" w:hAnsi="Times New Roman" w:cs="Times New Roman"/>
          <w:sz w:val="28"/>
          <w:szCs w:val="28"/>
        </w:rPr>
        <w:t>» и «ущерб от лесных пожаров</w:t>
      </w:r>
      <w:r w:rsidR="00A311CA">
        <w:rPr>
          <w:rFonts w:ascii="Times New Roman" w:hAnsi="Times New Roman" w:cs="Times New Roman"/>
          <w:sz w:val="28"/>
          <w:szCs w:val="28"/>
        </w:rPr>
        <w:t>, млн. рублей</w:t>
      </w:r>
      <w:r w:rsidRPr="00A311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11CA" w:rsidRPr="00A311CA" w:rsidRDefault="00A757CF" w:rsidP="00A311C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CA">
        <w:rPr>
          <w:rFonts w:ascii="Times New Roman" w:hAnsi="Times New Roman" w:cs="Times New Roman"/>
          <w:sz w:val="28"/>
          <w:szCs w:val="28"/>
        </w:rPr>
        <w:t xml:space="preserve">Проектное значение первого </w:t>
      </w:r>
      <w:r w:rsidR="00A311CA" w:rsidRPr="00A311CA">
        <w:rPr>
          <w:rFonts w:ascii="Times New Roman" w:hAnsi="Times New Roman" w:cs="Times New Roman"/>
          <w:sz w:val="28"/>
          <w:szCs w:val="28"/>
        </w:rPr>
        <w:t>показателя в 2020 году составляет 69,8</w:t>
      </w:r>
      <w:r w:rsidRPr="00A311CA">
        <w:rPr>
          <w:rFonts w:ascii="Times New Roman" w:hAnsi="Times New Roman" w:cs="Times New Roman"/>
          <w:sz w:val="28"/>
          <w:szCs w:val="28"/>
        </w:rPr>
        <w:t>%.</w:t>
      </w:r>
      <w:r w:rsidR="00A311CA">
        <w:rPr>
          <w:rFonts w:ascii="Times New Roman" w:hAnsi="Times New Roman" w:cs="Times New Roman"/>
          <w:sz w:val="28"/>
          <w:szCs w:val="28"/>
        </w:rPr>
        <w:t xml:space="preserve"> </w:t>
      </w:r>
      <w:r w:rsidR="00A311CA" w:rsidRPr="00A311CA">
        <w:rPr>
          <w:rFonts w:ascii="Times New Roman" w:hAnsi="Times New Roman" w:cs="Times New Roman"/>
          <w:sz w:val="28"/>
          <w:szCs w:val="28"/>
        </w:rPr>
        <w:t xml:space="preserve">В текущем году весенний </w:t>
      </w:r>
      <w:proofErr w:type="spellStart"/>
      <w:r w:rsidR="00A311CA" w:rsidRPr="00A311CA">
        <w:rPr>
          <w:rFonts w:ascii="Times New Roman" w:hAnsi="Times New Roman" w:cs="Times New Roman"/>
          <w:sz w:val="28"/>
          <w:szCs w:val="28"/>
        </w:rPr>
        <w:t>лесокультурный</w:t>
      </w:r>
      <w:proofErr w:type="spellEnd"/>
      <w:r w:rsidR="00A311CA" w:rsidRPr="00A311CA">
        <w:rPr>
          <w:rFonts w:ascii="Times New Roman" w:hAnsi="Times New Roman" w:cs="Times New Roman"/>
          <w:sz w:val="28"/>
          <w:szCs w:val="28"/>
        </w:rPr>
        <w:t xml:space="preserve"> сезон в Республике Татарстан был открыт 10 апреля и завершен 18 мая. За данный период по региональному проекту сотрудниками подведомственных учреждений Министерства лесного хозяйства</w:t>
      </w:r>
      <w:r w:rsidR="00A311CA">
        <w:rPr>
          <w:rFonts w:ascii="Times New Roman" w:hAnsi="Times New Roman" w:cs="Times New Roman"/>
          <w:sz w:val="28"/>
          <w:szCs w:val="28"/>
        </w:rPr>
        <w:t xml:space="preserve"> РТ </w:t>
      </w:r>
      <w:r w:rsidR="00A311CA" w:rsidRPr="00A311CA">
        <w:rPr>
          <w:rFonts w:ascii="Times New Roman" w:hAnsi="Times New Roman" w:cs="Times New Roman"/>
          <w:sz w:val="28"/>
          <w:szCs w:val="28"/>
        </w:rPr>
        <w:t>– лесхозов были проведены работы по лесовосстановлению на площади 2305</w:t>
      </w:r>
      <w:r w:rsidR="00A311CA">
        <w:rPr>
          <w:rFonts w:ascii="Times New Roman" w:hAnsi="Times New Roman" w:cs="Times New Roman"/>
          <w:sz w:val="28"/>
          <w:szCs w:val="28"/>
        </w:rPr>
        <w:t xml:space="preserve"> га</w:t>
      </w:r>
      <w:r w:rsidR="00A311CA" w:rsidRPr="00A311CA">
        <w:rPr>
          <w:rFonts w:ascii="Times New Roman" w:hAnsi="Times New Roman" w:cs="Times New Roman"/>
          <w:sz w:val="28"/>
          <w:szCs w:val="28"/>
        </w:rPr>
        <w:t>. Из них посадка лесных культур – на площади 2</w:t>
      </w:r>
      <w:r w:rsidR="00A311CA">
        <w:rPr>
          <w:rFonts w:ascii="Times New Roman" w:hAnsi="Times New Roman" w:cs="Times New Roman"/>
          <w:sz w:val="28"/>
          <w:szCs w:val="28"/>
        </w:rPr>
        <w:t xml:space="preserve">193 га, </w:t>
      </w:r>
      <w:r w:rsidR="00A311CA" w:rsidRPr="00A311CA">
        <w:rPr>
          <w:rFonts w:ascii="Times New Roman" w:hAnsi="Times New Roman" w:cs="Times New Roman"/>
          <w:sz w:val="28"/>
          <w:szCs w:val="28"/>
        </w:rPr>
        <w:t>лесоразведение – на 103</w:t>
      </w:r>
      <w:r w:rsidR="00A311CA">
        <w:rPr>
          <w:rFonts w:ascii="Times New Roman" w:hAnsi="Times New Roman" w:cs="Times New Roman"/>
          <w:sz w:val="28"/>
          <w:szCs w:val="28"/>
        </w:rPr>
        <w:t xml:space="preserve"> га</w:t>
      </w:r>
      <w:r w:rsidR="00A311CA" w:rsidRPr="00A311CA">
        <w:rPr>
          <w:rFonts w:ascii="Times New Roman" w:hAnsi="Times New Roman" w:cs="Times New Roman"/>
          <w:sz w:val="28"/>
          <w:szCs w:val="28"/>
        </w:rPr>
        <w:t xml:space="preserve">, комбинированное лесовосстановление – на 9 </w:t>
      </w:r>
      <w:r w:rsidR="00A311CA">
        <w:rPr>
          <w:rFonts w:ascii="Times New Roman" w:hAnsi="Times New Roman" w:cs="Times New Roman"/>
          <w:sz w:val="28"/>
          <w:szCs w:val="28"/>
        </w:rPr>
        <w:t>га.</w:t>
      </w:r>
    </w:p>
    <w:p w:rsidR="00A311CA" w:rsidRPr="00A311CA" w:rsidRDefault="00A311CA" w:rsidP="00A311C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CA">
        <w:rPr>
          <w:rFonts w:ascii="Times New Roman" w:hAnsi="Times New Roman" w:cs="Times New Roman"/>
          <w:sz w:val="28"/>
          <w:szCs w:val="28"/>
        </w:rPr>
        <w:t xml:space="preserve">Стоит отметить, что в Татарстане были выполнены и другие работы в рамках весеннего </w:t>
      </w:r>
      <w:proofErr w:type="spellStart"/>
      <w:r w:rsidRPr="00A311CA">
        <w:rPr>
          <w:rFonts w:ascii="Times New Roman" w:hAnsi="Times New Roman" w:cs="Times New Roman"/>
          <w:sz w:val="28"/>
          <w:szCs w:val="28"/>
        </w:rPr>
        <w:t>лесокультурного</w:t>
      </w:r>
      <w:proofErr w:type="spellEnd"/>
      <w:r w:rsidRPr="00A311CA">
        <w:rPr>
          <w:rFonts w:ascii="Times New Roman" w:hAnsi="Times New Roman" w:cs="Times New Roman"/>
          <w:sz w:val="28"/>
          <w:szCs w:val="28"/>
        </w:rPr>
        <w:t xml:space="preserve"> сезона. Так, были заложены защитные лесные насаждения по государственной программе «Развитие лесного </w:t>
      </w:r>
      <w:r w:rsidRPr="00A311C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Республики Татарстан» на землях сельскохозяйственного назначения на общей площади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11CA">
        <w:rPr>
          <w:rFonts w:ascii="Times New Roman" w:hAnsi="Times New Roman" w:cs="Times New Roman"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A311CA">
        <w:rPr>
          <w:rFonts w:ascii="Times New Roman" w:hAnsi="Times New Roman" w:cs="Times New Roman"/>
          <w:sz w:val="28"/>
          <w:szCs w:val="28"/>
        </w:rPr>
        <w:t>, проведено дополнение лесных культур на площади 2578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A311CA">
        <w:rPr>
          <w:rFonts w:ascii="Times New Roman" w:hAnsi="Times New Roman" w:cs="Times New Roman"/>
          <w:sz w:val="28"/>
          <w:szCs w:val="28"/>
        </w:rPr>
        <w:t>, посев семян в базисных лесных питомниках – на 23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A311CA">
        <w:rPr>
          <w:rFonts w:ascii="Times New Roman" w:hAnsi="Times New Roman" w:cs="Times New Roman"/>
          <w:sz w:val="28"/>
          <w:szCs w:val="28"/>
        </w:rPr>
        <w:t>.</w:t>
      </w:r>
    </w:p>
    <w:p w:rsidR="00A311CA" w:rsidRDefault="00A311CA" w:rsidP="00A311C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CA">
        <w:rPr>
          <w:rFonts w:ascii="Times New Roman" w:hAnsi="Times New Roman" w:cs="Times New Roman"/>
          <w:sz w:val="28"/>
          <w:szCs w:val="28"/>
        </w:rPr>
        <w:t xml:space="preserve">В настоящее время в Татарстане выполняется еще один вид работ, а именно – содействие естественному лесовосстановлению. По состоянию на 24 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11CA">
        <w:rPr>
          <w:rFonts w:ascii="Times New Roman" w:hAnsi="Times New Roman" w:cs="Times New Roman"/>
          <w:sz w:val="28"/>
          <w:szCs w:val="28"/>
        </w:rPr>
        <w:t xml:space="preserve">такие мероприятия проведены на площади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11CA">
        <w:rPr>
          <w:rFonts w:ascii="Times New Roman" w:hAnsi="Times New Roman" w:cs="Times New Roman"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  <w:r w:rsidRPr="00A311CA">
        <w:rPr>
          <w:rFonts w:ascii="Times New Roman" w:hAnsi="Times New Roman" w:cs="Times New Roman"/>
          <w:sz w:val="28"/>
          <w:szCs w:val="28"/>
        </w:rPr>
        <w:t>Данный способ воспроизводства лесов предусматривает создание благоприятных условий для естественного возобновления подроста ценных пород путем минерализации поверхности почвы, естественного заращивания и сохранения подроста при валке деревьев. Всего такие работы будут выполнены на общей площади 2480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A31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BB0" w:rsidRPr="00311BB0" w:rsidRDefault="00A311CA" w:rsidP="00311B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24 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BB0" w:rsidRPr="00311BB0">
        <w:rPr>
          <w:rFonts w:ascii="Times New Roman" w:hAnsi="Times New Roman" w:cs="Times New Roman"/>
          <w:sz w:val="28"/>
          <w:szCs w:val="28"/>
        </w:rPr>
        <w:t>значение целевого индикатора «Отношение площади лесовосстановления и лесоразведения к площади вырубленных и погибших лесных насаждений» составляет уже 130% (181% от плана).</w:t>
      </w:r>
    </w:p>
    <w:p w:rsidR="00311BB0" w:rsidRPr="00311BB0" w:rsidRDefault="00311BB0" w:rsidP="00311B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Дополнительными показателями регионального проекта являются «Запас семян лесных растений для лесовосстановления и лесоразведения» и «Количество выращенного посадочного материала лесных растений». Их плановые значения на текущий год – 11,4 тонны семян и 31 </w:t>
      </w:r>
      <w:r w:rsidR="00661994">
        <w:rPr>
          <w:rFonts w:ascii="Times New Roman" w:hAnsi="Times New Roman" w:cs="Times New Roman"/>
          <w:sz w:val="28"/>
          <w:szCs w:val="28"/>
        </w:rPr>
        <w:t xml:space="preserve">млн. </w:t>
      </w:r>
      <w:r w:rsidRPr="00311BB0">
        <w:rPr>
          <w:rFonts w:ascii="Times New Roman" w:hAnsi="Times New Roman" w:cs="Times New Roman"/>
          <w:sz w:val="28"/>
          <w:szCs w:val="28"/>
        </w:rPr>
        <w:t>штук стандартного посадочного материала соответственно.</w:t>
      </w:r>
    </w:p>
    <w:p w:rsidR="00311BB0" w:rsidRDefault="00311BB0" w:rsidP="00311B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На сегодняшний день специалистами подведомственных учреждений Министерства собрано 546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r w:rsidRPr="00311BB0">
        <w:rPr>
          <w:rFonts w:ascii="Times New Roman" w:hAnsi="Times New Roman" w:cs="Times New Roman"/>
          <w:sz w:val="28"/>
          <w:szCs w:val="28"/>
        </w:rPr>
        <w:t>семян, из них сосны – 404 кг, ели – 103 кг, лиственницы – 16 кг, прочих пород – 23 кг. Значительная часть семян будет собрана в сентябре.</w:t>
      </w:r>
    </w:p>
    <w:p w:rsidR="00781ACF" w:rsidRDefault="00781ACF" w:rsidP="00781A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ACF">
        <w:rPr>
          <w:rFonts w:ascii="Times New Roman" w:hAnsi="Times New Roman" w:cs="Times New Roman"/>
          <w:bCs/>
          <w:sz w:val="28"/>
          <w:szCs w:val="28"/>
        </w:rPr>
        <w:t xml:space="preserve">Благодаря слаженной работе специалистов Министерства лесного хозяйства РТ, его подведомственных учреждений, Главного управления МЧС России по РТ, органов исполнительной власти муниципальных районов, а также проведенным противопожарным мероприятиям, в Республике Татарстан удалось избежать чрезвычайных ситуаций в ходе пожароопасных сезонов с 2011 по 2019 годы. В </w:t>
      </w:r>
      <w:r w:rsidRPr="00781ACF">
        <w:rPr>
          <w:rFonts w:ascii="Times New Roman" w:hAnsi="Times New Roman" w:cs="Times New Roman"/>
          <w:bCs/>
          <w:iCs/>
          <w:sz w:val="28"/>
          <w:szCs w:val="28"/>
        </w:rPr>
        <w:t>2020 году пожароопасный сезон в лесах был открыт 6 апреля. В рамках подготовки к нему был разработан и утвержден «Сводный план тушения лесных пожаров на территории Республики Татарстан» на 2020 год, проверены все лесопожарные станции II и III типа, пункты сосредоточения противопожарного инвентаря при лесхозах республики, проведено множество встреч с главами сельских поселений, населением, арендаторами, владельцами земельных участков, прилегающих к лесному фонду. Также было выдано 1,4 тыс. шт. предостережений юридическим лицам и индивидуальным предпринимателям о недопустимости нарушения правил пожарной безопасности в лесах.</w:t>
      </w:r>
    </w:p>
    <w:p w:rsidR="00781ACF" w:rsidRPr="00781ACF" w:rsidRDefault="00781ACF" w:rsidP="00781A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ACF">
        <w:rPr>
          <w:rFonts w:ascii="Times New Roman" w:hAnsi="Times New Roman" w:cs="Times New Roman"/>
          <w:bCs/>
          <w:iCs/>
          <w:sz w:val="28"/>
          <w:szCs w:val="28"/>
        </w:rPr>
        <w:t xml:space="preserve">Кроме особого противопожарного режима, в этом году в связи с высоким классом пожарной опасности в лесах Постановлением Кабинета Министров РТ от 14.07.2020 №589 в Республике Татарстан было введено ограничение пребывания граждан в лесах и въезда в них транспортных </w:t>
      </w:r>
      <w:r w:rsidRPr="00781AC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средств с 15 июля на 21 календарный день. Ограничения были установлены в отношении лесов, расположенных на землях лесного фонда республики. </w:t>
      </w:r>
    </w:p>
    <w:p w:rsidR="00781ACF" w:rsidRPr="00781ACF" w:rsidRDefault="00781ACF" w:rsidP="00781A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ACF">
        <w:rPr>
          <w:rFonts w:ascii="Times New Roman" w:hAnsi="Times New Roman" w:cs="Times New Roman"/>
          <w:bCs/>
          <w:iCs/>
          <w:sz w:val="28"/>
          <w:szCs w:val="28"/>
        </w:rPr>
        <w:t>Пожарную безопасность в лесу обеспечивают 20 лесопожарных станций II типа при лесхозах и 5 лесопожарных станций III типа при ГБУ РТ «Лесопожарный центр». Численность лесопожарных формирований составляет 675 человек, оснащенность – 342 ед. различной техники. На случай чрезвычайной ситуации предусмотрено дополнительное привлечение сил и средств подразделений пожарной охраны и организаций общей численностью 2822 человека, в оснащении которых имеется 512 ед. техники. Кроме того, имеется возможность привлечь силы и средства организаций, осуществляющих и не осуществляющих использование лесов, численностью 2586 человек, в оснащении которых имеется 679 ед. различной техники.</w:t>
      </w:r>
    </w:p>
    <w:p w:rsidR="00781ACF" w:rsidRPr="00781ACF" w:rsidRDefault="00781ACF" w:rsidP="00781A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ACF">
        <w:rPr>
          <w:rFonts w:ascii="Times New Roman" w:hAnsi="Times New Roman" w:cs="Times New Roman"/>
          <w:bCs/>
          <w:iCs/>
          <w:sz w:val="28"/>
          <w:szCs w:val="28"/>
        </w:rPr>
        <w:t>В настоящее время во всех лесничествах Республики Татарстан проводится комплекс мероприятий по противопожарному обустройству лесов. В его рамках в республике создано 2670,2 км новых противопожарных минерализованных полос и проведен уход за имеющимися барьерами общей протяженностью 5448,9 км.</w:t>
      </w:r>
    </w:p>
    <w:p w:rsidR="00781ACF" w:rsidRPr="00781ACF" w:rsidRDefault="00781ACF" w:rsidP="00781A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ACF">
        <w:rPr>
          <w:rFonts w:ascii="Times New Roman" w:hAnsi="Times New Roman" w:cs="Times New Roman"/>
          <w:bCs/>
          <w:iCs/>
          <w:sz w:val="28"/>
          <w:szCs w:val="28"/>
        </w:rPr>
        <w:t xml:space="preserve">Также по состоянию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24 августа </w:t>
      </w:r>
      <w:proofErr w:type="spellStart"/>
      <w:r w:rsidRPr="00781ACF">
        <w:rPr>
          <w:rFonts w:ascii="Times New Roman" w:hAnsi="Times New Roman" w:cs="Times New Roman"/>
          <w:bCs/>
          <w:iCs/>
          <w:sz w:val="28"/>
          <w:szCs w:val="28"/>
        </w:rPr>
        <w:t>т.г</w:t>
      </w:r>
      <w:proofErr w:type="spellEnd"/>
      <w:r w:rsidRPr="00781ACF">
        <w:rPr>
          <w:rFonts w:ascii="Times New Roman" w:hAnsi="Times New Roman" w:cs="Times New Roman"/>
          <w:bCs/>
          <w:iCs/>
          <w:sz w:val="28"/>
          <w:szCs w:val="28"/>
        </w:rPr>
        <w:t>. выполнены работы по строительству дорог противопожарного н</w:t>
      </w:r>
      <w:r>
        <w:rPr>
          <w:rFonts w:ascii="Times New Roman" w:hAnsi="Times New Roman" w:cs="Times New Roman"/>
          <w:bCs/>
          <w:iCs/>
          <w:sz w:val="28"/>
          <w:szCs w:val="28"/>
        </w:rPr>
        <w:t>азначения общей протяженностью 80 км и их реконструкции – 325</w:t>
      </w:r>
      <w:r w:rsidRPr="00781ACF">
        <w:rPr>
          <w:rFonts w:ascii="Times New Roman" w:hAnsi="Times New Roman" w:cs="Times New Roman"/>
          <w:bCs/>
          <w:iCs/>
          <w:sz w:val="28"/>
          <w:szCs w:val="28"/>
        </w:rPr>
        <w:t xml:space="preserve"> км. Кроме того, установлено более 790 шт. стендов, знаков и указателей, содержащих информацию о мерах пожарной безопасности в лесах и проведено благоустройство 225 мест отдыха граждан, пребывающих в лесах.</w:t>
      </w:r>
    </w:p>
    <w:p w:rsidR="00781ACF" w:rsidRPr="00781ACF" w:rsidRDefault="00781ACF" w:rsidP="00781A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ACF">
        <w:rPr>
          <w:rFonts w:ascii="Times New Roman" w:hAnsi="Times New Roman" w:cs="Times New Roman"/>
          <w:bCs/>
          <w:iCs/>
          <w:sz w:val="28"/>
          <w:szCs w:val="28"/>
        </w:rPr>
        <w:t xml:space="preserve">Ведется космический мониторинг пожароопасной обстановки, авиационный (1,2 млн. га) и наземный (11 тыс. га). Кроме того, круглосуточно работает региональная диспетчерская служба ГБУ РТ «Лесопожарный центр» (тел. 8-800-100-94-00, 8 (843) 221-37-95). </w:t>
      </w:r>
    </w:p>
    <w:p w:rsidR="00311BB0" w:rsidRDefault="00781ACF" w:rsidP="00781A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состоянию на 24 августа</w:t>
      </w:r>
      <w:r w:rsidRPr="00781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вынесено 20</w:t>
      </w:r>
      <w:r w:rsidRPr="00781ACF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постановлений за нарушение требований пожарной безопасности в лесах на общую сумму 92,5 тыс. рублей.</w:t>
      </w:r>
    </w:p>
    <w:p w:rsidR="00661994" w:rsidRPr="00781ACF" w:rsidRDefault="00661994" w:rsidP="0066199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994">
        <w:rPr>
          <w:rFonts w:ascii="Times New Roman" w:hAnsi="Times New Roman" w:cs="Times New Roman"/>
          <w:bCs/>
          <w:iCs/>
          <w:sz w:val="28"/>
          <w:szCs w:val="28"/>
        </w:rPr>
        <w:t xml:space="preserve">По данным региональной диспетчерской службы ГБУ РТ «Лесопожарный центр», по состоянию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24 августа </w:t>
      </w:r>
      <w:proofErr w:type="spellStart"/>
      <w:r w:rsidRPr="00661994">
        <w:rPr>
          <w:rFonts w:ascii="Times New Roman" w:hAnsi="Times New Roman" w:cs="Times New Roman"/>
          <w:bCs/>
          <w:iCs/>
          <w:sz w:val="28"/>
          <w:szCs w:val="28"/>
        </w:rPr>
        <w:t>т.г</w:t>
      </w:r>
      <w:proofErr w:type="spellEnd"/>
      <w:r w:rsidRPr="00661994">
        <w:rPr>
          <w:rFonts w:ascii="Times New Roman" w:hAnsi="Times New Roman" w:cs="Times New Roman"/>
          <w:bCs/>
          <w:iCs/>
          <w:sz w:val="28"/>
          <w:szCs w:val="28"/>
        </w:rPr>
        <w:t xml:space="preserve">. зафиксированы </w:t>
      </w:r>
      <w:r>
        <w:rPr>
          <w:rFonts w:ascii="Times New Roman" w:hAnsi="Times New Roman" w:cs="Times New Roman"/>
          <w:bCs/>
          <w:iCs/>
          <w:sz w:val="28"/>
          <w:szCs w:val="28"/>
        </w:rPr>
        <w:t>248 случаев</w:t>
      </w:r>
      <w:r w:rsidRPr="00661994">
        <w:rPr>
          <w:rFonts w:ascii="Times New Roman" w:hAnsi="Times New Roman" w:cs="Times New Roman"/>
          <w:bCs/>
          <w:iCs/>
          <w:sz w:val="28"/>
          <w:szCs w:val="28"/>
        </w:rPr>
        <w:t xml:space="preserve"> возгораний на приграничных к лесному фонду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территориях на общей площади 68,8</w:t>
      </w:r>
      <w:r w:rsidRPr="00661994">
        <w:rPr>
          <w:rFonts w:ascii="Times New Roman" w:hAnsi="Times New Roman" w:cs="Times New Roman"/>
          <w:bCs/>
          <w:iCs/>
          <w:sz w:val="28"/>
          <w:szCs w:val="28"/>
        </w:rPr>
        <w:t xml:space="preserve"> га. Пожаров в лесном фонде не зарегистрировано.</w:t>
      </w:r>
      <w:bookmarkStart w:id="0" w:name="_GoBack"/>
      <w:bookmarkEnd w:id="0"/>
    </w:p>
    <w:p w:rsidR="00BF226E" w:rsidRPr="00781ACF" w:rsidRDefault="00311BB0" w:rsidP="0066199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В целом в 2020 году на реализацию регионального проекта «Сохранение лесов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Pr="00311BB0">
        <w:rPr>
          <w:rFonts w:ascii="Times New Roman" w:hAnsi="Times New Roman" w:cs="Times New Roman"/>
          <w:sz w:val="28"/>
          <w:szCs w:val="28"/>
        </w:rPr>
        <w:t xml:space="preserve">» из федерального бюджета </w:t>
      </w:r>
      <w:r w:rsidR="0066199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11BB0">
        <w:rPr>
          <w:rFonts w:ascii="Times New Roman" w:hAnsi="Times New Roman" w:cs="Times New Roman"/>
          <w:sz w:val="28"/>
          <w:szCs w:val="28"/>
        </w:rPr>
        <w:t>выделено финансирование в размере 197</w:t>
      </w:r>
      <w:r>
        <w:rPr>
          <w:rFonts w:ascii="Times New Roman" w:hAnsi="Times New Roman" w:cs="Times New Roman"/>
          <w:sz w:val="28"/>
          <w:szCs w:val="28"/>
        </w:rPr>
        <w:t xml:space="preserve">,7 млн.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1BB0">
        <w:rPr>
          <w:rFonts w:ascii="Times New Roman" w:hAnsi="Times New Roman" w:cs="Times New Roman"/>
          <w:sz w:val="28"/>
          <w:szCs w:val="28"/>
        </w:rPr>
        <w:t>на закупку техники – 46</w:t>
      </w:r>
      <w:r>
        <w:rPr>
          <w:rFonts w:ascii="Times New Roman" w:hAnsi="Times New Roman" w:cs="Times New Roman"/>
          <w:sz w:val="28"/>
          <w:szCs w:val="28"/>
        </w:rPr>
        <w:t>,4 млн. рублей.</w:t>
      </w:r>
      <w:r w:rsidRPr="0031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данные средства были закуплены </w:t>
      </w:r>
      <w:r w:rsidRPr="00311BB0">
        <w:rPr>
          <w:rFonts w:ascii="Times New Roman" w:hAnsi="Times New Roman" w:cs="Times New Roman"/>
          <w:sz w:val="28"/>
          <w:szCs w:val="28"/>
        </w:rPr>
        <w:t>8 ед. лесопосадочных агрегатов, 21 ед. культиваторов лесных бороздных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BB0">
        <w:rPr>
          <w:rFonts w:ascii="Times New Roman" w:hAnsi="Times New Roman" w:cs="Times New Roman"/>
          <w:sz w:val="28"/>
          <w:szCs w:val="28"/>
        </w:rPr>
        <w:t>7 ед. плугов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BB0">
        <w:rPr>
          <w:rFonts w:ascii="Times New Roman" w:hAnsi="Times New Roman" w:cs="Times New Roman"/>
          <w:sz w:val="28"/>
          <w:szCs w:val="28"/>
        </w:rPr>
        <w:t xml:space="preserve">9 ед. пожарных автоцистерн, 2 ед. малых </w:t>
      </w:r>
      <w:proofErr w:type="spellStart"/>
      <w:r w:rsidRPr="00311BB0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Pr="00311BB0">
        <w:rPr>
          <w:rFonts w:ascii="Times New Roman" w:hAnsi="Times New Roman" w:cs="Times New Roman"/>
          <w:sz w:val="28"/>
          <w:szCs w:val="28"/>
        </w:rPr>
        <w:t xml:space="preserve"> комплексов и 2 установки противопожарные высокого давления.</w:t>
      </w:r>
      <w:r w:rsidR="00BF226E" w:rsidRPr="00BF226E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779D6"/>
    <w:rsid w:val="00082E51"/>
    <w:rsid w:val="000934F1"/>
    <w:rsid w:val="000A25A4"/>
    <w:rsid w:val="000B1F5D"/>
    <w:rsid w:val="000D680C"/>
    <w:rsid w:val="000E7B61"/>
    <w:rsid w:val="00100720"/>
    <w:rsid w:val="0012777B"/>
    <w:rsid w:val="00144D6C"/>
    <w:rsid w:val="00162842"/>
    <w:rsid w:val="0018335D"/>
    <w:rsid w:val="001B0360"/>
    <w:rsid w:val="001C261B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D790F"/>
    <w:rsid w:val="00311BB0"/>
    <w:rsid w:val="00332A00"/>
    <w:rsid w:val="00351091"/>
    <w:rsid w:val="003521B1"/>
    <w:rsid w:val="00372321"/>
    <w:rsid w:val="00373F61"/>
    <w:rsid w:val="003C37C5"/>
    <w:rsid w:val="003C74F2"/>
    <w:rsid w:val="003D5367"/>
    <w:rsid w:val="003D6D5D"/>
    <w:rsid w:val="003F7C2C"/>
    <w:rsid w:val="00487D5C"/>
    <w:rsid w:val="004B1F30"/>
    <w:rsid w:val="004C3BAE"/>
    <w:rsid w:val="004E27FC"/>
    <w:rsid w:val="004E4AE8"/>
    <w:rsid w:val="00501DA8"/>
    <w:rsid w:val="00503A4A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6238DC"/>
    <w:rsid w:val="0063296C"/>
    <w:rsid w:val="00661994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234BE"/>
    <w:rsid w:val="00740DA8"/>
    <w:rsid w:val="0075052A"/>
    <w:rsid w:val="0076150D"/>
    <w:rsid w:val="007760B8"/>
    <w:rsid w:val="00781ACF"/>
    <w:rsid w:val="00785523"/>
    <w:rsid w:val="00786166"/>
    <w:rsid w:val="007A2566"/>
    <w:rsid w:val="007A40E6"/>
    <w:rsid w:val="007A7763"/>
    <w:rsid w:val="007E529D"/>
    <w:rsid w:val="00800BFA"/>
    <w:rsid w:val="00802EFF"/>
    <w:rsid w:val="008044C7"/>
    <w:rsid w:val="0081243A"/>
    <w:rsid w:val="008215DD"/>
    <w:rsid w:val="008329C5"/>
    <w:rsid w:val="00834CE2"/>
    <w:rsid w:val="00844EE3"/>
    <w:rsid w:val="0088571F"/>
    <w:rsid w:val="0089398B"/>
    <w:rsid w:val="008E6768"/>
    <w:rsid w:val="00901A6C"/>
    <w:rsid w:val="00904CBB"/>
    <w:rsid w:val="00907A07"/>
    <w:rsid w:val="0092245B"/>
    <w:rsid w:val="0093430C"/>
    <w:rsid w:val="00942D28"/>
    <w:rsid w:val="00945010"/>
    <w:rsid w:val="009565A8"/>
    <w:rsid w:val="0095745E"/>
    <w:rsid w:val="009746D5"/>
    <w:rsid w:val="009814B9"/>
    <w:rsid w:val="009824F9"/>
    <w:rsid w:val="00986423"/>
    <w:rsid w:val="00991CE1"/>
    <w:rsid w:val="009A6899"/>
    <w:rsid w:val="009B55AB"/>
    <w:rsid w:val="009C2C2C"/>
    <w:rsid w:val="009E5EA1"/>
    <w:rsid w:val="009F12BF"/>
    <w:rsid w:val="00A30B7E"/>
    <w:rsid w:val="00A311CA"/>
    <w:rsid w:val="00A60781"/>
    <w:rsid w:val="00A675A4"/>
    <w:rsid w:val="00A74E4D"/>
    <w:rsid w:val="00A757CF"/>
    <w:rsid w:val="00A90EB0"/>
    <w:rsid w:val="00AD0C44"/>
    <w:rsid w:val="00AD406D"/>
    <w:rsid w:val="00AD5804"/>
    <w:rsid w:val="00AE0F38"/>
    <w:rsid w:val="00AF79D2"/>
    <w:rsid w:val="00B01CB8"/>
    <w:rsid w:val="00B15F3A"/>
    <w:rsid w:val="00B324A3"/>
    <w:rsid w:val="00B3524E"/>
    <w:rsid w:val="00B659AF"/>
    <w:rsid w:val="00B679F1"/>
    <w:rsid w:val="00B7392C"/>
    <w:rsid w:val="00B91789"/>
    <w:rsid w:val="00BA1B16"/>
    <w:rsid w:val="00BB01BB"/>
    <w:rsid w:val="00BE3362"/>
    <w:rsid w:val="00BF226E"/>
    <w:rsid w:val="00C03960"/>
    <w:rsid w:val="00C1113A"/>
    <w:rsid w:val="00C129D7"/>
    <w:rsid w:val="00C3269B"/>
    <w:rsid w:val="00C51C52"/>
    <w:rsid w:val="00C745BD"/>
    <w:rsid w:val="00C76159"/>
    <w:rsid w:val="00C82794"/>
    <w:rsid w:val="00C82FF8"/>
    <w:rsid w:val="00C838FC"/>
    <w:rsid w:val="00CA784D"/>
    <w:rsid w:val="00CC15B1"/>
    <w:rsid w:val="00CD03D6"/>
    <w:rsid w:val="00D1508E"/>
    <w:rsid w:val="00D5437A"/>
    <w:rsid w:val="00D70E2F"/>
    <w:rsid w:val="00D91C41"/>
    <w:rsid w:val="00D94D2A"/>
    <w:rsid w:val="00DF0641"/>
    <w:rsid w:val="00DF7819"/>
    <w:rsid w:val="00E461B9"/>
    <w:rsid w:val="00E56238"/>
    <w:rsid w:val="00E56E13"/>
    <w:rsid w:val="00E6239C"/>
    <w:rsid w:val="00E65968"/>
    <w:rsid w:val="00E710F3"/>
    <w:rsid w:val="00EA4752"/>
    <w:rsid w:val="00EA7D03"/>
    <w:rsid w:val="00F126D8"/>
    <w:rsid w:val="00F151C2"/>
    <w:rsid w:val="00F25167"/>
    <w:rsid w:val="00F26F87"/>
    <w:rsid w:val="00F30CA8"/>
    <w:rsid w:val="00F43EE6"/>
    <w:rsid w:val="00F4404B"/>
    <w:rsid w:val="00F561C7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BCC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11</cp:revision>
  <cp:lastPrinted>2019-03-27T06:16:00Z</cp:lastPrinted>
  <dcterms:created xsi:type="dcterms:W3CDTF">2020-08-21T10:54:00Z</dcterms:created>
  <dcterms:modified xsi:type="dcterms:W3CDTF">2020-08-21T12:53:00Z</dcterms:modified>
</cp:coreProperties>
</file>